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0" w:rsidRDefault="000C7E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D21AC0" w:rsidRDefault="00D21AC0">
      <w:pPr>
        <w:rPr>
          <w:rFonts w:ascii="黑体" w:eastAsia="黑体" w:hAnsi="黑体"/>
          <w:sz w:val="32"/>
          <w:szCs w:val="32"/>
        </w:rPr>
      </w:pPr>
    </w:p>
    <w:p w:rsidR="00D21AC0" w:rsidRDefault="000C7E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6"/>
        <w:tblW w:w="9379" w:type="dxa"/>
        <w:tblLook w:val="04A0" w:firstRow="1" w:lastRow="0" w:firstColumn="1" w:lastColumn="0" w:noHBand="0" w:noVBand="1"/>
      </w:tblPr>
      <w:tblGrid>
        <w:gridCol w:w="1546"/>
        <w:gridCol w:w="782"/>
        <w:gridCol w:w="486"/>
        <w:gridCol w:w="909"/>
        <w:gridCol w:w="945"/>
        <w:gridCol w:w="1533"/>
        <w:gridCol w:w="3178"/>
      </w:tblGrid>
      <w:tr w:rsidR="00D21AC0">
        <w:tc>
          <w:tcPr>
            <w:tcW w:w="1546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68" w:type="dxa"/>
            <w:gridSpan w:val="2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李婷婷</w:t>
            </w:r>
          </w:p>
        </w:tc>
        <w:tc>
          <w:tcPr>
            <w:tcW w:w="9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945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女</w:t>
            </w:r>
          </w:p>
        </w:tc>
        <w:tc>
          <w:tcPr>
            <w:tcW w:w="1533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17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教授</w:t>
            </w:r>
          </w:p>
        </w:tc>
      </w:tr>
      <w:tr w:rsidR="00D21AC0">
        <w:tc>
          <w:tcPr>
            <w:tcW w:w="2814" w:type="dxa"/>
            <w:gridSpan w:val="3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565" w:type="dxa"/>
            <w:gridSpan w:val="4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博士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浙江工商大学</w:t>
            </w:r>
          </w:p>
        </w:tc>
      </w:tr>
      <w:tr w:rsidR="00D21AC0">
        <w:tc>
          <w:tcPr>
            <w:tcW w:w="1546" w:type="dxa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122" w:type="dxa"/>
            <w:gridSpan w:val="4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生命科学学院</w:t>
            </w:r>
          </w:p>
        </w:tc>
        <w:tc>
          <w:tcPr>
            <w:tcW w:w="1533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178" w:type="dxa"/>
            <w:vAlign w:val="center"/>
          </w:tcPr>
          <w:p w:rsidR="00D21AC0" w:rsidRDefault="000C7E06">
            <w:pPr>
              <w:jc w:val="center"/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jwltt@dlnu.edu.cn</w:t>
            </w:r>
          </w:p>
        </w:tc>
      </w:tr>
      <w:tr w:rsidR="00D21AC0">
        <w:tc>
          <w:tcPr>
            <w:tcW w:w="1546" w:type="dxa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3122" w:type="dxa"/>
            <w:gridSpan w:val="4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生物工程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生物与医药</w:t>
            </w:r>
          </w:p>
        </w:tc>
        <w:tc>
          <w:tcPr>
            <w:tcW w:w="1533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317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食品生物工程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食品工程</w:t>
            </w:r>
          </w:p>
        </w:tc>
      </w:tr>
      <w:tr w:rsidR="00D21AC0">
        <w:tc>
          <w:tcPr>
            <w:tcW w:w="2814" w:type="dxa"/>
            <w:gridSpan w:val="3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565" w:type="dxa"/>
            <w:gridSpan w:val="4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辽宁省省级高校生物工程下游技术重点实验室主任</w:t>
            </w:r>
          </w:p>
        </w:tc>
      </w:tr>
      <w:tr w:rsidR="00D21AC0">
        <w:trPr>
          <w:trHeight w:val="4260"/>
        </w:trPr>
        <w:tc>
          <w:tcPr>
            <w:tcW w:w="9379" w:type="dxa"/>
            <w:gridSpan w:val="7"/>
          </w:tcPr>
          <w:p w:rsidR="00D21AC0" w:rsidRDefault="000C7E06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</w:p>
          <w:p w:rsidR="00D21AC0" w:rsidRDefault="000C7E06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127000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1AC0" w:rsidRDefault="000C7E06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114300" distR="114300">
                                        <wp:extent cx="1093470" cy="1565275"/>
                                        <wp:effectExtent l="0" t="0" r="24130" b="9525"/>
                                        <wp:docPr id="2" name="图片 2" descr="李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李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3470" cy="156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74.2pt;margin-top:10pt;height:134.55pt;width:100.9pt;z-index:251659264;v-text-anchor:middle;mso-width-relative:page;mso-height-relative:page;" filled="f" stroked="t" coordsize="21600,21600" o:gfxdata="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oRkdJ&#10;2QAAAAoBAAAPAAAAAAAAAAEAIAAAADgAAABkcnMvZG93bnJldi54bWxQSwECFAAUAAAACACHTuJA&#10;NBWiMnwCAADlBAAADgAAAAAAAAABACAAAAA+AQAAZHJzL2Uyb0RvYy54bWxQSwUGAAAAAAYABgBZ&#10;AQAALAYAAAAA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color w:val="000000" w:themeColor="text1"/>
                                <w:lang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宋体"/>
                                <w:color w:val="000000" w:themeColor="text1"/>
                                <w:lang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1093470" cy="1565275"/>
                                  <wp:effectExtent l="0" t="0" r="24130" b="9525"/>
                                  <wp:docPr id="2" name="图片 2" descr="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56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1AC0" w:rsidRDefault="00D21AC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:rsidR="00D21AC0" w:rsidRDefault="00D21AC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:rsidR="00D21AC0" w:rsidRDefault="00D21AC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:rsidR="00D21AC0" w:rsidRDefault="00D21AC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:rsidR="00D21AC0" w:rsidRPr="0038540D" w:rsidRDefault="000C7E06">
            <w:pPr>
              <w:ind w:firstLineChars="200" w:firstLine="560"/>
              <w:jc w:val="both"/>
              <w:rPr>
                <w:rFonts w:eastAsia="仿宋_GB2312" w:cs="Times New Roman"/>
                <w:sz w:val="28"/>
                <w:szCs w:val="32"/>
                <w:lang w:eastAsia="zh-Hans"/>
              </w:rPr>
            </w:pP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李婷婷，教授，大连民族大学生命科学学院副院长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。辽宁师范大学理学学士、硕士，浙江工商大学工学博士，西南大学食品科学与工程博士后。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荣获辽宁省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“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百千万人才工程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”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千人层次、辽宁省优秀科技工作者、国家民委中青年英才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等称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号。现任中国食品科学技术学会第三届青年委员会委员、中国水产学会水产品加工和综合利用分会委员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、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中国民族医药协会民族医药教育专业委员会常务理事、第三届辽宁省食品科学技术学会理事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。</w:t>
            </w:r>
          </w:p>
          <w:p w:rsidR="00D21AC0" w:rsidRDefault="000C7E06" w:rsidP="0038540D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研究方向为水产品贮藏加工与安全控制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。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现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主持国家自然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科学基金、中国博士后科学基金等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省部级以上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项目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1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3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项。作为主要完成人荣获国家科技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lastRenderedPageBreak/>
              <w:t>进步奖二等奖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1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项、辽宁省科技进步一等奖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1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项、中国商业联合会科技进步特等奖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3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项。发表学术论文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9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8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篇，其中在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 xml:space="preserve"> Biomaterials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、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Journal of Hazardous Materials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等期刊以第一或通讯作者发表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SCI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收录论文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34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篇、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EI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收录论文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2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7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篇，申请国家发明专利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1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9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项（已授权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6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项），合作出版著作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1</w:t>
            </w:r>
            <w:r w:rsidRPr="0038540D">
              <w:rPr>
                <w:rFonts w:eastAsia="仿宋_GB2312" w:cs="Times New Roman"/>
                <w:sz w:val="28"/>
                <w:szCs w:val="32"/>
                <w:lang w:eastAsia="zh-Hans"/>
              </w:rPr>
              <w:t>部。</w:t>
            </w:r>
            <w:bookmarkStart w:id="0" w:name="_GoBack"/>
            <w:bookmarkEnd w:id="0"/>
          </w:p>
        </w:tc>
      </w:tr>
      <w:tr w:rsidR="00D21AC0">
        <w:tc>
          <w:tcPr>
            <w:tcW w:w="2328" w:type="dxa"/>
            <w:gridSpan w:val="2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7051" w:type="dxa"/>
            <w:gridSpan w:val="5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D21AC0">
        <w:trPr>
          <w:trHeight w:val="1238"/>
        </w:trPr>
        <w:tc>
          <w:tcPr>
            <w:tcW w:w="2328" w:type="dxa"/>
            <w:gridSpan w:val="2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7051" w:type="dxa"/>
            <w:gridSpan w:val="5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实验设计与数据处理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科技论文写作</w:t>
            </w:r>
          </w:p>
        </w:tc>
      </w:tr>
    </w:tbl>
    <w:p w:rsidR="00D21AC0" w:rsidRDefault="000C7E06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D21AC0" w:rsidRDefault="00D21AC0">
      <w:pPr>
        <w:rPr>
          <w:rFonts w:ascii="黑体" w:eastAsia="黑体" w:hAnsi="黑体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D21AC0" w:rsidRDefault="000C7E06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>Tingting</w:t>
            </w:r>
            <w:proofErr w:type="spellEnd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 xml:space="preserve"> Li</w:t>
            </w:r>
            <w:r>
              <w:rPr>
                <w:rFonts w:hint="eastAsia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Dangfeng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Wang</w:t>
            </w:r>
            <w:r>
              <w:rPr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Likun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Ren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bCs/>
                <w:sz w:val="24"/>
                <w:szCs w:val="20"/>
              </w:rPr>
              <w:t>Jialin</w:t>
            </w:r>
            <w:proofErr w:type="spellEnd"/>
            <w:r>
              <w:rPr>
                <w:bCs/>
                <w:sz w:val="24"/>
                <w:szCs w:val="20"/>
              </w:rPr>
              <w:t xml:space="preserve"> Mei, </w:t>
            </w:r>
            <w:proofErr w:type="spellStart"/>
            <w:r>
              <w:rPr>
                <w:bCs/>
                <w:sz w:val="24"/>
                <w:szCs w:val="20"/>
              </w:rPr>
              <w:t>Yuchen</w:t>
            </w:r>
            <w:proofErr w:type="spellEnd"/>
            <w:r>
              <w:rPr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bCs/>
                <w:sz w:val="24"/>
                <w:szCs w:val="20"/>
              </w:rPr>
              <w:t>Xu</w:t>
            </w:r>
            <w:proofErr w:type="spellEnd"/>
            <w:r>
              <w:rPr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bCs/>
                <w:sz w:val="24"/>
                <w:szCs w:val="20"/>
              </w:rPr>
              <w:t>Jianrong</w:t>
            </w:r>
            <w:proofErr w:type="spellEnd"/>
            <w:r>
              <w:rPr>
                <w:bCs/>
                <w:sz w:val="24"/>
                <w:szCs w:val="20"/>
              </w:rPr>
              <w:t xml:space="preserve"> Li. </w:t>
            </w:r>
            <w:r>
              <w:rPr>
                <w:rFonts w:hint="eastAsia"/>
                <w:bCs/>
                <w:sz w:val="24"/>
                <w:szCs w:val="20"/>
              </w:rPr>
              <w:t xml:space="preserve">Preparation of pH-sensitive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polylactic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acid-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naringin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coaxial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electrospun</w:t>
            </w:r>
            <w:proofErr w:type="spellEnd"/>
            <w:r>
              <w:rPr>
                <w:bCs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sz w:val="24"/>
                <w:szCs w:val="20"/>
              </w:rPr>
              <w:t xml:space="preserve">fiber membranes for maintaining and monitoring salmon </w:t>
            </w:r>
            <w:r>
              <w:rPr>
                <w:rFonts w:hint="eastAsia"/>
                <w:bCs/>
                <w:sz w:val="24"/>
                <w:szCs w:val="20"/>
              </w:rPr>
              <w:t>freshness</w:t>
            </w:r>
            <w:r>
              <w:rPr>
                <w:bCs/>
                <w:sz w:val="24"/>
                <w:szCs w:val="20"/>
              </w:rPr>
              <w:t xml:space="preserve">, </w:t>
            </w:r>
            <w:r>
              <w:rPr>
                <w:bCs/>
                <w:i/>
                <w:sz w:val="24"/>
                <w:szCs w:val="20"/>
              </w:rPr>
              <w:t>International Journal of Biological Macromolecules</w:t>
            </w:r>
            <w:r>
              <w:rPr>
                <w:bCs/>
                <w:sz w:val="24"/>
                <w:szCs w:val="20"/>
              </w:rPr>
              <w:t>, 2021, 188, 708-718</w:t>
            </w:r>
            <w:r>
              <w:rPr>
                <w:rFonts w:hint="eastAsia"/>
                <w:bCs/>
                <w:sz w:val="24"/>
                <w:szCs w:val="20"/>
                <w:lang w:eastAsia="zh-Hans"/>
              </w:rPr>
              <w:t>.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D21AC0" w:rsidRDefault="000C7E06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>Tingting</w:t>
            </w:r>
            <w:proofErr w:type="spellEnd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 xml:space="preserve"> Li</w:t>
            </w:r>
            <w:r>
              <w:rPr>
                <w:rFonts w:hint="eastAsia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Yue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Shen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Haitao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Chen,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Yuchen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Xu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Dangfeng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Wang,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Fangchao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Cui,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Yujuan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Han and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Jianrong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Li. Antibacterial Properties of Coaxial Spinning Membrane of methyl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fe</w:t>
            </w:r>
            <w:r>
              <w:rPr>
                <w:rFonts w:hint="eastAsia"/>
                <w:bCs/>
                <w:sz w:val="24"/>
                <w:szCs w:val="20"/>
              </w:rPr>
              <w:t>rulate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>/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zein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and Its Preservation Effect on Sea Bass, </w:t>
            </w:r>
            <w:r>
              <w:rPr>
                <w:rFonts w:hint="eastAsia"/>
                <w:bCs/>
                <w:i/>
                <w:sz w:val="24"/>
                <w:szCs w:val="20"/>
              </w:rPr>
              <w:t>Foods</w:t>
            </w:r>
            <w:r>
              <w:rPr>
                <w:rFonts w:hint="eastAsia"/>
                <w:bCs/>
                <w:sz w:val="24"/>
                <w:szCs w:val="20"/>
              </w:rPr>
              <w:t>, 2021, 10(10), 2385.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D21AC0" w:rsidRDefault="000C7E06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>Tingting</w:t>
            </w:r>
            <w:proofErr w:type="spellEnd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 xml:space="preserve"> Li,</w:t>
            </w:r>
            <w:r>
              <w:rPr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bCs/>
                <w:sz w:val="24"/>
                <w:szCs w:val="20"/>
              </w:rPr>
              <w:t>Xiaojia</w:t>
            </w:r>
            <w:proofErr w:type="spellEnd"/>
            <w:r>
              <w:rPr>
                <w:bCs/>
                <w:sz w:val="24"/>
                <w:szCs w:val="20"/>
              </w:rPr>
              <w:t xml:space="preserve"> Sun, </w:t>
            </w:r>
            <w:proofErr w:type="spellStart"/>
            <w:r>
              <w:rPr>
                <w:bCs/>
                <w:sz w:val="24"/>
                <w:szCs w:val="20"/>
              </w:rPr>
              <w:t>Haitao</w:t>
            </w:r>
            <w:proofErr w:type="spellEnd"/>
            <w:r>
              <w:rPr>
                <w:bCs/>
                <w:sz w:val="24"/>
                <w:szCs w:val="20"/>
              </w:rPr>
              <w:t xml:space="preserve"> Chen, </w:t>
            </w:r>
            <w:proofErr w:type="spellStart"/>
            <w:r>
              <w:rPr>
                <w:bCs/>
                <w:sz w:val="24"/>
                <w:szCs w:val="20"/>
              </w:rPr>
              <w:t>Binbin</w:t>
            </w:r>
            <w:proofErr w:type="spellEnd"/>
            <w:r>
              <w:rPr>
                <w:bCs/>
                <w:sz w:val="24"/>
                <w:szCs w:val="20"/>
              </w:rPr>
              <w:t xml:space="preserve"> He, </w:t>
            </w:r>
            <w:proofErr w:type="spellStart"/>
            <w:r>
              <w:rPr>
                <w:bCs/>
                <w:sz w:val="24"/>
                <w:szCs w:val="20"/>
              </w:rPr>
              <w:t>Yongchao</w:t>
            </w:r>
            <w:proofErr w:type="spellEnd"/>
            <w:r>
              <w:rPr>
                <w:bCs/>
                <w:sz w:val="24"/>
                <w:szCs w:val="20"/>
              </w:rPr>
              <w:t xml:space="preserve"> Mei, </w:t>
            </w:r>
            <w:proofErr w:type="spellStart"/>
            <w:r>
              <w:rPr>
                <w:bCs/>
                <w:sz w:val="24"/>
                <w:szCs w:val="20"/>
              </w:rPr>
              <w:t>DangfengWang</w:t>
            </w:r>
            <w:proofErr w:type="spellEnd"/>
            <w:r>
              <w:rPr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bCs/>
                <w:sz w:val="24"/>
                <w:szCs w:val="20"/>
              </w:rPr>
              <w:t>Jianrong</w:t>
            </w:r>
            <w:proofErr w:type="spellEnd"/>
            <w:r>
              <w:rPr>
                <w:bCs/>
                <w:sz w:val="24"/>
                <w:szCs w:val="20"/>
              </w:rPr>
              <w:t xml:space="preserve"> Li</w:t>
            </w:r>
            <w:r>
              <w:rPr>
                <w:rFonts w:hint="eastAsia"/>
                <w:bCs/>
                <w:sz w:val="24"/>
                <w:szCs w:val="20"/>
              </w:rPr>
              <w:t>.</w:t>
            </w:r>
            <w:r>
              <w:rPr>
                <w:bCs/>
                <w:sz w:val="24"/>
                <w:szCs w:val="20"/>
              </w:rPr>
              <w:t xml:space="preserve"> Effect of the combination of vanillin and chitosan coating on the microbial diversity and shelf-life of refrigerated turbot (</w:t>
            </w:r>
            <w:proofErr w:type="spellStart"/>
            <w:r>
              <w:rPr>
                <w:bCs/>
                <w:i/>
                <w:sz w:val="24"/>
                <w:szCs w:val="20"/>
              </w:rPr>
              <w:t>Scophthalmus</w:t>
            </w:r>
            <w:proofErr w:type="spellEnd"/>
            <w:r>
              <w:rPr>
                <w:bCs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0"/>
              </w:rPr>
              <w:t>maximus</w:t>
            </w:r>
            <w:proofErr w:type="spellEnd"/>
            <w:r>
              <w:rPr>
                <w:bCs/>
                <w:sz w:val="24"/>
                <w:szCs w:val="20"/>
              </w:rPr>
              <w:t>) filets</w:t>
            </w:r>
            <w:r>
              <w:rPr>
                <w:rFonts w:hint="eastAsia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 Italic" w:hAnsi="Times New Roman Italic" w:cs="Times New Roman Italic"/>
                <w:bCs/>
                <w:i/>
                <w:iCs/>
                <w:sz w:val="24"/>
                <w:szCs w:val="20"/>
              </w:rPr>
              <w:t>Frontiers in Microbiology</w:t>
            </w:r>
            <w:r>
              <w:rPr>
                <w:rFonts w:hint="eastAsia"/>
                <w:bCs/>
                <w:sz w:val="24"/>
                <w:szCs w:val="20"/>
              </w:rPr>
              <w:t>, 2020,</w:t>
            </w:r>
            <w:r>
              <w:rPr>
                <w:bCs/>
                <w:sz w:val="24"/>
                <w:szCs w:val="20"/>
              </w:rPr>
              <w:t xml:space="preserve"> 11: 462. 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:rsidR="00D21AC0" w:rsidRDefault="000C7E06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Bold" w:hAnsi="Times New Roman Bold" w:cs="Times New Roman Bold"/>
                <w:b/>
                <w:kern w:val="0"/>
                <w:sz w:val="24"/>
              </w:rPr>
              <w:t>Tingting</w:t>
            </w:r>
            <w:proofErr w:type="spellEnd"/>
            <w:r>
              <w:rPr>
                <w:rFonts w:ascii="Times New Roman Bold" w:hAnsi="Times New Roman Bold" w:cs="Times New Roman Bold"/>
                <w:b/>
                <w:kern w:val="0"/>
                <w:sz w:val="24"/>
              </w:rPr>
              <w:t xml:space="preserve"> Li</w:t>
            </w:r>
            <w:r>
              <w:rPr>
                <w:kern w:val="0"/>
                <w:sz w:val="24"/>
              </w:rPr>
              <w:t>,</w:t>
            </w:r>
            <w:r>
              <w:rPr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bCs/>
                <w:sz w:val="24"/>
                <w:szCs w:val="20"/>
              </w:rPr>
              <w:t>Xiaojia</w:t>
            </w:r>
            <w:proofErr w:type="spellEnd"/>
            <w:r>
              <w:rPr>
                <w:bCs/>
                <w:sz w:val="24"/>
                <w:szCs w:val="20"/>
              </w:rPr>
              <w:t xml:space="preserve"> Sun,</w:t>
            </w:r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Haotao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Chen,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Binbin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He, </w:t>
            </w:r>
            <w:proofErr w:type="spellStart"/>
            <w:r>
              <w:rPr>
                <w:bCs/>
                <w:sz w:val="24"/>
                <w:szCs w:val="20"/>
              </w:rPr>
              <w:t>Yongchao</w:t>
            </w:r>
            <w:proofErr w:type="spellEnd"/>
            <w:r>
              <w:rPr>
                <w:bCs/>
                <w:sz w:val="24"/>
                <w:szCs w:val="20"/>
              </w:rPr>
              <w:t xml:space="preserve"> Mei, </w:t>
            </w:r>
            <w:proofErr w:type="spellStart"/>
            <w:r>
              <w:rPr>
                <w:bCs/>
                <w:sz w:val="24"/>
                <w:szCs w:val="20"/>
              </w:rPr>
              <w:t>Dangfeng</w:t>
            </w:r>
            <w:proofErr w:type="spellEnd"/>
            <w:r>
              <w:rPr>
                <w:bCs/>
                <w:sz w:val="24"/>
                <w:szCs w:val="20"/>
              </w:rPr>
              <w:t xml:space="preserve"> Wang,</w:t>
            </w:r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4"/>
                <w:szCs w:val="20"/>
              </w:rPr>
              <w:t>Jianrong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 Li. </w:t>
            </w:r>
            <w:r>
              <w:rPr>
                <w:bCs/>
                <w:sz w:val="24"/>
                <w:szCs w:val="20"/>
              </w:rPr>
              <w:t xml:space="preserve">Methyl </w:t>
            </w:r>
            <w:proofErr w:type="spellStart"/>
            <w:r>
              <w:rPr>
                <w:bCs/>
                <w:sz w:val="24"/>
                <w:szCs w:val="20"/>
              </w:rPr>
              <w:t>anthranilate</w:t>
            </w:r>
            <w:proofErr w:type="spellEnd"/>
            <w:r>
              <w:rPr>
                <w:bCs/>
                <w:sz w:val="24"/>
                <w:szCs w:val="20"/>
              </w:rPr>
              <w:t xml:space="preserve">: a novel quorum sensing inhibitor and anti-biofilm agent against </w:t>
            </w:r>
            <w:proofErr w:type="spellStart"/>
            <w:r>
              <w:rPr>
                <w:bCs/>
                <w:i/>
                <w:sz w:val="24"/>
                <w:szCs w:val="20"/>
              </w:rPr>
              <w:t>Aeromonas</w:t>
            </w:r>
            <w:proofErr w:type="spellEnd"/>
            <w:r>
              <w:rPr>
                <w:bCs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0"/>
              </w:rPr>
              <w:t>sobria</w:t>
            </w:r>
            <w:proofErr w:type="spellEnd"/>
            <w:r>
              <w:rPr>
                <w:rFonts w:hint="eastAsia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 Italic" w:hAnsi="Times New Roman Italic" w:cs="Times New Roman Italic"/>
                <w:bCs/>
                <w:i/>
                <w:iCs/>
                <w:sz w:val="24"/>
                <w:szCs w:val="20"/>
              </w:rPr>
              <w:t>Food Microbiology</w:t>
            </w:r>
            <w:r>
              <w:rPr>
                <w:rFonts w:hint="eastAsia"/>
                <w:bCs/>
                <w:sz w:val="24"/>
                <w:szCs w:val="20"/>
              </w:rPr>
              <w:t xml:space="preserve">, 2020, 103356. 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:rsidR="00D21AC0" w:rsidRDefault="000C7E06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>Tingting</w:t>
            </w:r>
            <w:proofErr w:type="spellEnd"/>
            <w:r>
              <w:rPr>
                <w:rFonts w:ascii="Times New Roman Bold" w:hAnsi="Times New Roman Bold" w:cs="Times New Roman Bold"/>
                <w:b/>
                <w:sz w:val="24"/>
                <w:szCs w:val="20"/>
              </w:rPr>
              <w:t xml:space="preserve"> Li</w:t>
            </w:r>
            <w:r>
              <w:rPr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bCs/>
                <w:sz w:val="24"/>
                <w:szCs w:val="20"/>
              </w:rPr>
              <w:t>Binbin</w:t>
            </w:r>
            <w:proofErr w:type="spellEnd"/>
            <w:r>
              <w:rPr>
                <w:bCs/>
                <w:sz w:val="24"/>
                <w:szCs w:val="20"/>
              </w:rPr>
              <w:t xml:space="preserve"> He, </w:t>
            </w:r>
            <w:proofErr w:type="spellStart"/>
            <w:r>
              <w:rPr>
                <w:bCs/>
                <w:sz w:val="24"/>
                <w:szCs w:val="20"/>
              </w:rPr>
              <w:t>Yongchao</w:t>
            </w:r>
            <w:proofErr w:type="spellEnd"/>
            <w:r>
              <w:rPr>
                <w:bCs/>
                <w:sz w:val="24"/>
                <w:szCs w:val="20"/>
              </w:rPr>
              <w:t xml:space="preserve"> Mei, </w:t>
            </w:r>
            <w:proofErr w:type="spellStart"/>
            <w:r>
              <w:rPr>
                <w:bCs/>
                <w:sz w:val="24"/>
                <w:szCs w:val="20"/>
              </w:rPr>
              <w:t>Dangfeng</w:t>
            </w:r>
            <w:proofErr w:type="spellEnd"/>
            <w:r>
              <w:rPr>
                <w:bCs/>
                <w:sz w:val="24"/>
                <w:szCs w:val="20"/>
              </w:rPr>
              <w:t xml:space="preserve"> Wang, </w:t>
            </w:r>
            <w:proofErr w:type="spellStart"/>
            <w:r>
              <w:rPr>
                <w:bCs/>
                <w:sz w:val="24"/>
                <w:szCs w:val="20"/>
              </w:rPr>
              <w:t>Xiaojia</w:t>
            </w:r>
            <w:proofErr w:type="spellEnd"/>
            <w:r>
              <w:rPr>
                <w:bCs/>
                <w:sz w:val="24"/>
                <w:szCs w:val="20"/>
              </w:rPr>
              <w:t xml:space="preserve"> Sun, </w:t>
            </w:r>
            <w:proofErr w:type="spellStart"/>
            <w:r>
              <w:rPr>
                <w:bCs/>
                <w:sz w:val="24"/>
                <w:szCs w:val="20"/>
              </w:rPr>
              <w:t>Jianrong</w:t>
            </w:r>
            <w:proofErr w:type="spellEnd"/>
            <w:r>
              <w:rPr>
                <w:bCs/>
                <w:sz w:val="24"/>
                <w:szCs w:val="20"/>
              </w:rPr>
              <w:t xml:space="preserve"> Li. </w:t>
            </w:r>
            <w:r>
              <w:rPr>
                <w:sz w:val="24"/>
                <w:szCs w:val="20"/>
              </w:rPr>
              <w:t xml:space="preserve">Inhibitory effect of vanillin on the virulence factors and biofilm formation of </w:t>
            </w:r>
            <w:proofErr w:type="spellStart"/>
            <w:r>
              <w:rPr>
                <w:i/>
                <w:sz w:val="24"/>
                <w:szCs w:val="20"/>
              </w:rPr>
              <w:lastRenderedPageBreak/>
              <w:t>Hafnia</w:t>
            </w:r>
            <w:proofErr w:type="spellEnd"/>
            <w:r>
              <w:rPr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i/>
                <w:sz w:val="24"/>
                <w:szCs w:val="20"/>
              </w:rPr>
              <w:t>alvei</w:t>
            </w:r>
            <w:proofErr w:type="spellEnd"/>
            <w:r>
              <w:rPr>
                <w:sz w:val="24"/>
                <w:szCs w:val="20"/>
              </w:rPr>
              <w:t xml:space="preserve">. </w:t>
            </w:r>
            <w:r>
              <w:rPr>
                <w:rFonts w:ascii="Times New Roman Italic" w:hAnsi="Times New Roman Italic" w:cs="Times New Roman Italic"/>
                <w:i/>
                <w:iCs/>
                <w:sz w:val="24"/>
                <w:szCs w:val="20"/>
              </w:rPr>
              <w:t>LWT-</w:t>
            </w:r>
            <w:r>
              <w:rPr>
                <w:rFonts w:ascii="Times New Roman Italic" w:hAnsi="Times New Roman Italic" w:cs="Times New Roman Italic" w:hint="eastAsia"/>
                <w:i/>
                <w:iCs/>
                <w:sz w:val="24"/>
                <w:szCs w:val="20"/>
                <w:lang w:eastAsia="zh-Hans"/>
              </w:rPr>
              <w:t>F</w:t>
            </w:r>
            <w:r>
              <w:rPr>
                <w:rFonts w:ascii="Times New Roman Italic" w:hAnsi="Times New Roman Italic" w:cs="Times New Roman Italic"/>
                <w:i/>
                <w:iCs/>
                <w:sz w:val="24"/>
                <w:szCs w:val="20"/>
              </w:rPr>
              <w:t xml:space="preserve">ood </w:t>
            </w:r>
            <w:r>
              <w:rPr>
                <w:rFonts w:ascii="Times New Roman Italic" w:hAnsi="Times New Roman Italic" w:cs="Times New Roman Italic" w:hint="eastAsia"/>
                <w:i/>
                <w:iCs/>
                <w:sz w:val="24"/>
                <w:szCs w:val="20"/>
                <w:lang w:eastAsia="zh-Hans"/>
              </w:rPr>
              <w:t>S</w:t>
            </w:r>
            <w:r>
              <w:rPr>
                <w:rFonts w:ascii="Times New Roman Italic" w:hAnsi="Times New Roman Italic" w:cs="Times New Roman Italic"/>
                <w:i/>
                <w:iCs/>
                <w:sz w:val="24"/>
                <w:szCs w:val="20"/>
              </w:rPr>
              <w:t xml:space="preserve">cience and </w:t>
            </w:r>
            <w:r>
              <w:rPr>
                <w:rFonts w:ascii="Times New Roman Italic" w:hAnsi="Times New Roman Italic" w:cs="Times New Roman Italic" w:hint="eastAsia"/>
                <w:i/>
                <w:iCs/>
                <w:sz w:val="24"/>
                <w:szCs w:val="20"/>
                <w:lang w:eastAsia="zh-Hans"/>
              </w:rPr>
              <w:t>T</w:t>
            </w:r>
            <w:r>
              <w:rPr>
                <w:rFonts w:ascii="Times New Roman Italic" w:hAnsi="Times New Roman Italic" w:cs="Times New Roman Italic"/>
                <w:i/>
                <w:iCs/>
                <w:sz w:val="24"/>
                <w:szCs w:val="20"/>
              </w:rPr>
              <w:t>echnology</w:t>
            </w:r>
            <w:r>
              <w:rPr>
                <w:sz w:val="24"/>
                <w:szCs w:val="20"/>
              </w:rPr>
              <w:t>,</w:t>
            </w:r>
            <w:r>
              <w:rPr>
                <w:color w:val="FF0000"/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2019, 102: 223-229.</w:t>
            </w: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lastRenderedPageBreak/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882"/>
        <w:gridCol w:w="2309"/>
        <w:gridCol w:w="1768"/>
      </w:tblGrid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鱿鱼贮藏加工与质量安全控制关键技术及应用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国家科技进步二等奖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2017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大宗海水鱼贮运加工关键技术及应用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辽宁省直属高校科技成果转化大赛一等奖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2020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大宗海水鱼贮运加工关键技术及应用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辽宁省科技进步一等奖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2021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水产蛋白资源深度挖掘和高值化利用关键技术及产业化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中国商业联合会科学技术奖特等奖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2022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38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大宗海水鱼类贮藏加工关键技术与装备的创制及应用</w:t>
            </w:r>
          </w:p>
        </w:tc>
        <w:tc>
          <w:tcPr>
            <w:tcW w:w="230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中国商业联合会科学技术奖特等奖</w:t>
            </w:r>
          </w:p>
        </w:tc>
        <w:tc>
          <w:tcPr>
            <w:tcW w:w="1768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2017</w:t>
            </w: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"/>
        <w:gridCol w:w="5698"/>
        <w:gridCol w:w="2316"/>
      </w:tblGrid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  <w:vAlign w:val="center"/>
          </w:tcPr>
          <w:p w:rsidR="00D21AC0" w:rsidRDefault="000C7E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国家重点研发计划子课题“预制调理水产品货架期模型预测及绿色靶向腐败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菌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32"/>
              </w:rPr>
              <w:t>控制”</w:t>
            </w:r>
            <w:r>
              <w:rPr>
                <w:rFonts w:ascii="仿宋_GB2312" w:eastAsia="仿宋_GB2312" w:hAnsi="宋体"/>
                <w:sz w:val="28"/>
                <w:szCs w:val="32"/>
              </w:rPr>
              <w:t>,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科技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部</w:t>
            </w:r>
          </w:p>
          <w:p w:rsidR="00D21AC0" w:rsidRDefault="00D21AC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2018.06-2021.06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616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海参精深加工关键技术研发及产业化</w:t>
            </w:r>
            <w:r>
              <w:rPr>
                <w:rFonts w:ascii="仿宋_GB2312" w:eastAsia="仿宋_GB2312" w:hAnsi="宋体"/>
                <w:sz w:val="28"/>
                <w:szCs w:val="32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2022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年辽宁省海洋经济发展专项</w:t>
            </w:r>
            <w:r>
              <w:rPr>
                <w:rFonts w:ascii="仿宋_GB2312" w:eastAsia="仿宋_GB2312" w:hAnsi="宋体"/>
                <w:sz w:val="28"/>
                <w:szCs w:val="32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辽宁省财政厅等</w:t>
            </w:r>
          </w:p>
        </w:tc>
        <w:tc>
          <w:tcPr>
            <w:tcW w:w="1797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2022</w:t>
            </w:r>
            <w:r>
              <w:rPr>
                <w:rFonts w:ascii="仿宋_GB2312" w:eastAsia="仿宋_GB2312" w:hAnsi="宋体"/>
                <w:sz w:val="28"/>
                <w:szCs w:val="32"/>
              </w:rPr>
              <w:t>.0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1-2023</w:t>
            </w:r>
            <w:r>
              <w:rPr>
                <w:rFonts w:ascii="仿宋_GB2312" w:eastAsia="仿宋_GB2312" w:hAnsi="宋体"/>
                <w:sz w:val="28"/>
                <w:szCs w:val="32"/>
              </w:rPr>
              <w:t>.12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三文鱼加工副产物综合利用关键技术研究，辽宁省应用基础研究计划项目</w:t>
            </w:r>
            <w:r>
              <w:rPr>
                <w:rFonts w:ascii="仿宋_GB2312" w:eastAsia="仿宋_GB2312" w:hAnsi="宋体"/>
                <w:sz w:val="28"/>
                <w:szCs w:val="32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辽宁省科技厅</w:t>
            </w:r>
          </w:p>
        </w:tc>
        <w:tc>
          <w:tcPr>
            <w:tcW w:w="1797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2023.06-2025.06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616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水产品贮藏加工与安全控制</w:t>
            </w:r>
            <w:r>
              <w:rPr>
                <w:rFonts w:ascii="仿宋_GB2312" w:eastAsia="仿宋_GB2312" w:hAnsi="宋体"/>
                <w:sz w:val="28"/>
                <w:szCs w:val="32"/>
              </w:rPr>
              <w:t>,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辽宁省高等学校创新人才支持计划项目</w:t>
            </w:r>
            <w:r>
              <w:rPr>
                <w:rFonts w:ascii="仿宋_GB2312" w:eastAsia="仿宋_GB2312" w:hAnsi="宋体"/>
                <w:sz w:val="28"/>
                <w:szCs w:val="32"/>
              </w:rPr>
              <w:t>,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辽宁省教育厅</w:t>
            </w:r>
          </w:p>
        </w:tc>
        <w:tc>
          <w:tcPr>
            <w:tcW w:w="1797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2018</w:t>
            </w:r>
            <w:r>
              <w:rPr>
                <w:rFonts w:ascii="仿宋_GB2312" w:eastAsia="仿宋_GB2312" w:hAnsi="宋体"/>
                <w:sz w:val="28"/>
                <w:szCs w:val="32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12-2021</w:t>
            </w:r>
            <w:r>
              <w:rPr>
                <w:rFonts w:ascii="仿宋_GB2312" w:eastAsia="仿宋_GB2312" w:hAnsi="宋体"/>
                <w:sz w:val="28"/>
                <w:szCs w:val="32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12</w:t>
            </w:r>
          </w:p>
        </w:tc>
      </w:tr>
      <w:tr w:rsidR="00D21AC0">
        <w:tc>
          <w:tcPr>
            <w:tcW w:w="1101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616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鱼体表粘液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抗菌肽对海水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32"/>
              </w:rPr>
              <w:t>养殖鱼类特定腐败菌及致病菌的作用机制</w:t>
            </w:r>
            <w:r>
              <w:rPr>
                <w:rFonts w:ascii="仿宋_GB2312" w:eastAsia="仿宋_GB2312" w:hAnsi="宋体"/>
                <w:sz w:val="28"/>
                <w:szCs w:val="32"/>
              </w:rPr>
              <w:t>，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国家自然科学基金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委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2014.01-2016.12</w:t>
            </w: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D21AC0" w:rsidRDefault="00D21AC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D21AC0" w:rsidRDefault="00D21AC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D21AC0" w:rsidRDefault="00D21AC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D21AC0" w:rsidRDefault="00D21AC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8282"/>
      </w:tblGrid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Zhe Xu, Zhixuan Zhu, Hui Chen, Lingyu Han, Pujie Shi, Xiufang Dong, Di Wu, Ming Du, Tingting Li. Application of a Mytilus edulis-derived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lastRenderedPageBreak/>
              <w:t> promoting calcium absorption peptide in calcium phosphate cements for bone. </w:t>
            </w:r>
            <w:r>
              <w:rPr>
                <w:rFonts w:ascii="Times New Roman Italic" w:eastAsia="仿宋_GB2312" w:hAnsi="Times New Roman Italic" w:cs="Times New Roman Italic"/>
                <w:i/>
                <w:iCs/>
                <w:sz w:val="28"/>
                <w:szCs w:val="32"/>
              </w:rPr>
              <w:t>Biomaterials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, 2022, 282, 121390.</w:t>
            </w:r>
          </w:p>
        </w:tc>
      </w:tr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2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Lingyu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Han,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Ruiyi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Zhai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, Bing Hu,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Jixin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Yang,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Yaoyao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Li,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Zhe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Xu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Yueyue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Meng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and </w:t>
            </w:r>
            <w:proofErr w:type="spellStart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Tingting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Li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. 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Effects of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o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ctenyl-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s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uccinylated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c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hitosan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-w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hey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p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rotein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 i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solated on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e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mulsion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p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roperties,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a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staxanthin</w:t>
            </w:r>
            <w:proofErr w:type="spellEnd"/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s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olubility,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 s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 xml:space="preserve">tability, and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b</w:t>
            </w:r>
            <w:r>
              <w:rPr>
                <w:rFonts w:ascii="Times New Roman Regular" w:eastAsia="仿宋_GB2312" w:hAnsi="Times New Roman Regular" w:cs="Times New Roman Regular" w:hint="eastAsia"/>
                <w:sz w:val="28"/>
                <w:szCs w:val="32"/>
              </w:rPr>
              <w:t>ioaccessibility</w:t>
            </w:r>
            <w:proofErr w:type="spellEnd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, </w:t>
            </w:r>
            <w:r>
              <w:rPr>
                <w:rFonts w:ascii="Times New Roman Italic" w:eastAsia="仿宋_GB2312" w:hAnsi="Times New Roman Italic" w:cs="Times New Roman Italic"/>
                <w:i/>
                <w:iCs/>
                <w:sz w:val="28"/>
                <w:szCs w:val="32"/>
              </w:rPr>
              <w:t>Foods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, 2023, 12, 2898.</w:t>
            </w:r>
          </w:p>
        </w:tc>
      </w:tr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Zhe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Xu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Shiying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Han,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Hui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Chen,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Zhixuan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Zhu,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Lingyu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Han,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Xiufang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Dong, Ming Du, </w:t>
            </w:r>
            <w:proofErr w:type="spellStart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>Tingting</w:t>
            </w:r>
            <w:proofErr w:type="spellEnd"/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Li.</w:t>
            </w:r>
            <w:r>
              <w:rPr>
                <w:rFonts w:ascii="Times New Roman Regular" w:hAnsi="Times New Roman Regular" w:cs="Times New Roman Regula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Characterization of chelation and absorption of calcium by a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Mytilus</w:t>
            </w:r>
            <w:proofErr w:type="spellEnd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edulis</w:t>
            </w:r>
            <w:proofErr w:type="spellEnd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 derived </w:t>
            </w:r>
            <w:proofErr w:type="spellStart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osteogenic</w:t>
            </w:r>
            <w:proofErr w:type="spellEnd"/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 xml:space="preserve"> peptide. </w:t>
            </w:r>
            <w:r>
              <w:rPr>
                <w:rFonts w:ascii="Times New Roman Italic" w:eastAsia="仿宋_GB2312" w:hAnsi="Times New Roman Italic" w:cs="Times New Roman Italic"/>
                <w:i/>
                <w:iCs/>
                <w:sz w:val="28"/>
                <w:szCs w:val="32"/>
              </w:rPr>
              <w:t>Frontiers in Nutrition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32"/>
              </w:rPr>
              <w:t>, 2022, 9: 840638.</w:t>
            </w:r>
          </w:p>
        </w:tc>
      </w:tr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Zhe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Xu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Shiying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Han,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Hui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Chen,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Lingyu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Han,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Xiufang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Dong,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Zhijian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Tan, Ming Du,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Tingting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Li. Nutritional properties and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osteogenic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activity of simulated digestion components and peptides from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Larimichthys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crocea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 Italic" w:hAnsi="Times New Roman Italic" w:cs="Times New Roman Italic"/>
                <w:bCs/>
                <w:i/>
                <w:iCs/>
                <w:sz w:val="28"/>
                <w:szCs w:val="28"/>
              </w:rPr>
              <w:t>Food Research International</w:t>
            </w:r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. 2023,163:112238.</w:t>
            </w:r>
          </w:p>
        </w:tc>
      </w:tr>
      <w:tr w:rsidR="00D21AC0">
        <w:tc>
          <w:tcPr>
            <w:tcW w:w="779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8282" w:type="dxa"/>
            <w:vAlign w:val="center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Zhe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Xu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Zhixuan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Zhu,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Maolin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Tu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Jiale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Chang,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Shiying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Han,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Lingyu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Han,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Hui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Chen,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Zhijian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Tan, Ming Du and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Tingting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Li. Characterizations and the Mechanism Underlying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Cryoprotective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Activity of Peptides from Enzymatic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Hydrolysates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Pseudosciaena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crocea</w:t>
            </w:r>
            <w:proofErr w:type="spellEnd"/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 xml:space="preserve">[J]. Foods, </w:t>
            </w:r>
            <w:r>
              <w:rPr>
                <w:rFonts w:ascii="Times New Roman Regular" w:hAnsi="Times New Roman Regular" w:cs="Times New Roman Regular" w:hint="eastAsia"/>
                <w:bCs/>
                <w:sz w:val="28"/>
                <w:szCs w:val="28"/>
              </w:rPr>
              <w:t>2023, 12(4): 875-892.</w:t>
            </w: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0C7E06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959"/>
      </w:tblGrid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959" w:type="dxa"/>
          </w:tcPr>
          <w:p w:rsidR="00D21AC0" w:rsidRDefault="0024680B" w:rsidP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中国食品科学技术学会第三届青年委员会委员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2017.03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D21AC0" w:rsidRDefault="0024680B" w:rsidP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中国民族医药协会民族医药教育专业委员会常务理事2018.12</w:t>
            </w:r>
          </w:p>
        </w:tc>
      </w:tr>
      <w:tr w:rsidR="00D21AC0">
        <w:tc>
          <w:tcPr>
            <w:tcW w:w="1101" w:type="dxa"/>
          </w:tcPr>
          <w:p w:rsidR="00D21AC0" w:rsidRDefault="000C7E0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D21AC0" w:rsidRDefault="0024680B" w:rsidP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第三届辽宁省食品科学技术学会理事2020.11</w:t>
            </w:r>
          </w:p>
        </w:tc>
      </w:tr>
      <w:tr w:rsidR="00D21AC0">
        <w:tc>
          <w:tcPr>
            <w:tcW w:w="1101" w:type="dxa"/>
          </w:tcPr>
          <w:p w:rsidR="00D21AC0" w:rsidRDefault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D21AC0" w:rsidRDefault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第十二届辽宁省优秀科技工作者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2020.10</w:t>
            </w:r>
          </w:p>
        </w:tc>
      </w:tr>
      <w:tr w:rsidR="0024680B">
        <w:tc>
          <w:tcPr>
            <w:tcW w:w="1101" w:type="dxa"/>
          </w:tcPr>
          <w:p w:rsidR="0024680B" w:rsidRDefault="0024680B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:rsidR="0024680B" w:rsidRDefault="0024680B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4680B">
              <w:rPr>
                <w:rFonts w:ascii="仿宋_GB2312" w:eastAsia="仿宋_GB2312" w:hAnsi="宋体" w:hint="eastAsia"/>
                <w:sz w:val="28"/>
                <w:szCs w:val="32"/>
              </w:rPr>
              <w:t>辽宁省高等学校创新人才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2018.12</w:t>
            </w:r>
          </w:p>
        </w:tc>
      </w:tr>
    </w:tbl>
    <w:p w:rsidR="00D21AC0" w:rsidRDefault="000C7E06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D21AC0" w:rsidRDefault="00D21AC0">
      <w:pPr>
        <w:rPr>
          <w:rFonts w:ascii="宋体" w:hAnsi="宋体"/>
          <w:szCs w:val="32"/>
          <w:lang w:eastAsia="zh-Hans"/>
        </w:rPr>
      </w:pPr>
    </w:p>
    <w:p w:rsidR="00D21AC0" w:rsidRDefault="00D21AC0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D21AC0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06" w:rsidRDefault="000C7E06">
      <w:r>
        <w:separator/>
      </w:r>
    </w:p>
  </w:endnote>
  <w:endnote w:type="continuationSeparator" w:id="0">
    <w:p w:rsidR="000C7E06" w:rsidRDefault="000C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Times New Roman 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C0" w:rsidRDefault="000C7E06">
    <w:pPr>
      <w:pStyle w:val="a4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06" w:rsidRDefault="000C7E06">
      <w:r>
        <w:separator/>
      </w:r>
    </w:p>
  </w:footnote>
  <w:footnote w:type="continuationSeparator" w:id="0">
    <w:p w:rsidR="000C7E06" w:rsidRDefault="000C7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DY4ODczZjFmMTE1MDBiODI2MjRmOWM3NDNhZjIifQ=="/>
  </w:docVars>
  <w:rsids>
    <w:rsidRoot w:val="00F3286F"/>
    <w:rsid w:val="97C6F4DC"/>
    <w:rsid w:val="9BDA3ABE"/>
    <w:rsid w:val="AE7B4E4D"/>
    <w:rsid w:val="BBF64F91"/>
    <w:rsid w:val="BCFF5FDD"/>
    <w:rsid w:val="BF5F50E3"/>
    <w:rsid w:val="BF8BD212"/>
    <w:rsid w:val="BF9B941F"/>
    <w:rsid w:val="BFAE3CF3"/>
    <w:rsid w:val="BFF69F9B"/>
    <w:rsid w:val="D5FEF0AC"/>
    <w:rsid w:val="D97D7743"/>
    <w:rsid w:val="DFF35938"/>
    <w:rsid w:val="EE5FC116"/>
    <w:rsid w:val="EFFBA51E"/>
    <w:rsid w:val="EFFD518C"/>
    <w:rsid w:val="F3DEC5AC"/>
    <w:rsid w:val="F6BF79A3"/>
    <w:rsid w:val="F73579D1"/>
    <w:rsid w:val="F77F043B"/>
    <w:rsid w:val="F7FFBD81"/>
    <w:rsid w:val="F9DF5D1F"/>
    <w:rsid w:val="FAFCBC22"/>
    <w:rsid w:val="FEF64DDC"/>
    <w:rsid w:val="FF9A510B"/>
    <w:rsid w:val="FFDD5A43"/>
    <w:rsid w:val="FFE524C8"/>
    <w:rsid w:val="FFF6DDE1"/>
    <w:rsid w:val="FFFEB4B0"/>
    <w:rsid w:val="00044EFC"/>
    <w:rsid w:val="00087FAC"/>
    <w:rsid w:val="000C7E06"/>
    <w:rsid w:val="001764B1"/>
    <w:rsid w:val="002155E1"/>
    <w:rsid w:val="0024680B"/>
    <w:rsid w:val="00306705"/>
    <w:rsid w:val="00334586"/>
    <w:rsid w:val="00367D5F"/>
    <w:rsid w:val="0037710F"/>
    <w:rsid w:val="0038540D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21AC0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35511D2F"/>
    <w:rsid w:val="42E4135B"/>
    <w:rsid w:val="4F7102F5"/>
    <w:rsid w:val="57EECD06"/>
    <w:rsid w:val="5CDE4635"/>
    <w:rsid w:val="5DBFC3D2"/>
    <w:rsid w:val="5F9F1D5F"/>
    <w:rsid w:val="5FC682DC"/>
    <w:rsid w:val="5FFBAEE4"/>
    <w:rsid w:val="66CFB1C5"/>
    <w:rsid w:val="6DAFB5B0"/>
    <w:rsid w:val="6EEE4BC4"/>
    <w:rsid w:val="7457319D"/>
    <w:rsid w:val="79CD949A"/>
    <w:rsid w:val="7BAD9A5C"/>
    <w:rsid w:val="7BB5FAF9"/>
    <w:rsid w:val="7C75F87F"/>
    <w:rsid w:val="7DFAA73B"/>
    <w:rsid w:val="7DFFC68D"/>
    <w:rsid w:val="7F378B41"/>
    <w:rsid w:val="7F7D331C"/>
    <w:rsid w:val="7F7FF078"/>
    <w:rsid w:val="7FAF5803"/>
    <w:rsid w:val="7FD7980F"/>
    <w:rsid w:val="7FE7CCF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647</Words>
  <Characters>3693</Characters>
  <Application>Microsoft Office Word</Application>
  <DocSecurity>0</DocSecurity>
  <Lines>30</Lines>
  <Paragraphs>8</Paragraphs>
  <ScaleCrop>false</ScaleCrop>
  <Company>P R 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Windows User</cp:lastModifiedBy>
  <cp:revision>4</cp:revision>
  <cp:lastPrinted>2018-09-21T18:22:00Z</cp:lastPrinted>
  <dcterms:created xsi:type="dcterms:W3CDTF">2023-07-01T06:55:00Z</dcterms:created>
  <dcterms:modified xsi:type="dcterms:W3CDTF">2023-08-21T05:21:00Z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C88CF22D3E32095798359D64271BEC88_43</vt:lpwstr>
  </property>
</Properties>
</file>