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rPr>
          <w:rFonts w:hint="eastAsia" w:ascii="仿宋_GB2312" w:hAnsi="Calibri" w:eastAsia="仿宋_GB2312" w:cs="Times New Roman"/>
          <w:sz w:val="32"/>
          <w:szCs w:val="32"/>
        </w:rPr>
      </w:pPr>
      <w:r>
        <w:rPr>
          <w:rFonts w:hint="eastAsia" w:ascii="仿宋_GB2312" w:hAnsi="Calibri" w:eastAsia="仿宋_GB2312" w:cs="Times New Roman"/>
          <w:sz w:val="32"/>
          <w:szCs w:val="32"/>
        </w:rPr>
        <w:t>附件1</w:t>
      </w:r>
      <w:bookmarkStart w:id="0" w:name="_GoBack"/>
      <w:bookmarkEnd w:id="0"/>
    </w:p>
    <w:p>
      <w:pPr>
        <w:spacing w:afterLines="50" w:line="560" w:lineRule="exact"/>
        <w:rPr>
          <w:rFonts w:hint="eastAsia" w:ascii="仿宋_GB2312" w:hAnsi="Calibri" w:eastAsia="仿宋_GB2312" w:cs="Times New Roman"/>
          <w:sz w:val="32"/>
          <w:szCs w:val="32"/>
        </w:rPr>
      </w:pPr>
    </w:p>
    <w:p>
      <w:pPr>
        <w:widowControl/>
        <w:spacing w:line="560" w:lineRule="exact"/>
        <w:jc w:val="center"/>
        <w:rPr>
          <w:rFonts w:cs="仿宋_GB2312" w:asciiTheme="majorEastAsia" w:hAnsiTheme="majorEastAsia" w:eastAsiaTheme="majorEastAsia"/>
          <w:color w:val="000000"/>
          <w:kern w:val="0"/>
          <w:sz w:val="44"/>
          <w:szCs w:val="44"/>
        </w:rPr>
      </w:pPr>
      <w:r>
        <w:rPr>
          <w:rFonts w:hint="eastAsia" w:cs="仿宋_GB2312" w:asciiTheme="majorEastAsia" w:hAnsiTheme="majorEastAsia" w:eastAsiaTheme="majorEastAsia"/>
          <w:color w:val="000000"/>
          <w:kern w:val="0"/>
          <w:sz w:val="44"/>
          <w:szCs w:val="44"/>
        </w:rPr>
        <w:t>20</w:t>
      </w:r>
      <w:r>
        <w:rPr>
          <w:rFonts w:cs="仿宋_GB2312" w:asciiTheme="majorEastAsia" w:hAnsiTheme="majorEastAsia" w:eastAsiaTheme="majorEastAsia"/>
          <w:color w:val="000000"/>
          <w:kern w:val="0"/>
          <w:sz w:val="44"/>
          <w:szCs w:val="44"/>
        </w:rPr>
        <w:t>2</w:t>
      </w:r>
      <w:r>
        <w:rPr>
          <w:rFonts w:hint="eastAsia" w:cs="仿宋_GB2312" w:asciiTheme="majorEastAsia" w:hAnsiTheme="majorEastAsia" w:eastAsiaTheme="majorEastAsia"/>
          <w:color w:val="000000"/>
          <w:kern w:val="0"/>
          <w:sz w:val="44"/>
          <w:szCs w:val="44"/>
        </w:rPr>
        <w:t>4年本科教育教学改革研究与实践项目</w:t>
      </w:r>
    </w:p>
    <w:p>
      <w:pPr>
        <w:widowControl/>
        <w:spacing w:line="560" w:lineRule="exact"/>
        <w:jc w:val="center"/>
        <w:rPr>
          <w:rFonts w:cs="仿宋_GB2312" w:asciiTheme="majorEastAsia" w:hAnsiTheme="majorEastAsia" w:eastAsiaTheme="majorEastAsia"/>
          <w:color w:val="000000"/>
          <w:kern w:val="0"/>
          <w:sz w:val="44"/>
          <w:szCs w:val="44"/>
        </w:rPr>
      </w:pPr>
      <w:r>
        <w:rPr>
          <w:rFonts w:hint="eastAsia" w:cs="仿宋_GB2312" w:asciiTheme="majorEastAsia" w:hAnsiTheme="majorEastAsia" w:eastAsiaTheme="majorEastAsia"/>
          <w:color w:val="000000"/>
          <w:kern w:val="0"/>
          <w:sz w:val="44"/>
          <w:szCs w:val="44"/>
        </w:rPr>
        <w:t>申报领域和方向指南</w:t>
      </w:r>
    </w:p>
    <w:p>
      <w:pPr>
        <w:widowControl/>
        <w:spacing w:line="560" w:lineRule="exact"/>
        <w:jc w:val="center"/>
        <w:rPr>
          <w:rFonts w:ascii="黑体" w:hAnsi="黑体" w:eastAsia="黑体" w:cs="仿宋_GB2312"/>
          <w:color w:val="000000"/>
          <w:kern w:val="0"/>
          <w:sz w:val="32"/>
          <w:szCs w:val="32"/>
        </w:rPr>
      </w:pP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本指南所列条目是立项方向，不是项目名称，申报人可结合新时代高等教育发展新形势和学校实际情况，确定项目名称。</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（一）铸牢中华民族共同体意识教育融入本科人才培养全过程机制研究与实践。</w:t>
      </w:r>
    </w:p>
    <w:p>
      <w:pPr>
        <w:spacing w:line="560" w:lineRule="exact"/>
        <w:ind w:firstLine="645"/>
        <w:rPr>
          <w:rStyle w:val="12"/>
          <w:rFonts w:ascii="仿宋_GB2312" w:hAnsi="仿宋" w:eastAsia="仿宋_GB2312"/>
          <w:color w:val="000000"/>
          <w:sz w:val="32"/>
          <w:szCs w:val="32"/>
        </w:rPr>
      </w:pPr>
      <w:r>
        <w:rPr>
          <w:rFonts w:hint="eastAsia" w:ascii="仿宋_GB2312" w:eastAsia="仿宋_GB2312" w:hAnsiTheme="minorEastAsia"/>
          <w:sz w:val="32"/>
          <w:szCs w:val="32"/>
        </w:rPr>
        <w:t>1.</w:t>
      </w:r>
      <w:r>
        <w:rPr>
          <w:rFonts w:hint="eastAsia" w:ascii="仿宋_GB2312" w:hAnsi="仿宋" w:eastAsia="仿宋_GB2312"/>
          <w:color w:val="000000"/>
          <w:sz w:val="32"/>
          <w:szCs w:val="32"/>
        </w:rPr>
        <w:t>铸牢</w:t>
      </w:r>
      <w:r>
        <w:rPr>
          <w:rStyle w:val="12"/>
          <w:rFonts w:hint="eastAsia" w:ascii="仿宋_GB2312" w:hAnsi="仿宋" w:eastAsia="仿宋_GB2312"/>
          <w:color w:val="000000"/>
          <w:sz w:val="32"/>
          <w:szCs w:val="32"/>
        </w:rPr>
        <w:t>中华民族共同体意识教育融入人才培养全过程相关问题研究；</w:t>
      </w:r>
    </w:p>
    <w:p>
      <w:pPr>
        <w:spacing w:line="560" w:lineRule="exact"/>
        <w:ind w:firstLine="645"/>
        <w:rPr>
          <w:rStyle w:val="12"/>
          <w:rFonts w:ascii="仿宋_GB2312" w:hAnsi="仿宋" w:eastAsia="仿宋_GB2312"/>
          <w:color w:val="000000"/>
          <w:sz w:val="32"/>
          <w:szCs w:val="32"/>
        </w:rPr>
      </w:pPr>
      <w:r>
        <w:rPr>
          <w:rStyle w:val="12"/>
          <w:rFonts w:hint="eastAsia" w:ascii="仿宋_GB2312" w:hAnsi="仿宋" w:eastAsia="仿宋_GB2312"/>
          <w:color w:val="000000"/>
          <w:sz w:val="32"/>
          <w:szCs w:val="32"/>
        </w:rPr>
        <w:t>2.以身心健康为突破点强化五育并举；</w:t>
      </w:r>
    </w:p>
    <w:p>
      <w:pPr>
        <w:spacing w:line="560" w:lineRule="exact"/>
        <w:ind w:firstLine="645"/>
        <w:rPr>
          <w:rStyle w:val="12"/>
          <w:rFonts w:ascii="仿宋_GB2312" w:hAnsi="仿宋" w:eastAsia="仿宋_GB2312"/>
          <w:color w:val="000000"/>
          <w:sz w:val="32"/>
          <w:szCs w:val="32"/>
        </w:rPr>
      </w:pPr>
      <w:r>
        <w:rPr>
          <w:rStyle w:val="12"/>
          <w:rFonts w:hint="eastAsia" w:ascii="仿宋_GB2312" w:hAnsi="仿宋" w:eastAsia="仿宋_GB2312"/>
          <w:color w:val="000000"/>
          <w:sz w:val="32"/>
          <w:szCs w:val="32"/>
        </w:rPr>
        <w:t>3</w:t>
      </w:r>
      <w:r>
        <w:rPr>
          <w:rStyle w:val="12"/>
          <w:rFonts w:ascii="仿宋_GB2312" w:hAnsi="仿宋" w:eastAsia="仿宋_GB2312"/>
          <w:color w:val="000000"/>
          <w:sz w:val="32"/>
          <w:szCs w:val="32"/>
        </w:rPr>
        <w:t>.</w:t>
      </w:r>
      <w:r>
        <w:rPr>
          <w:rStyle w:val="12"/>
          <w:rFonts w:hint="eastAsia" w:ascii="仿宋_GB2312" w:hAnsi="仿宋" w:eastAsia="仿宋_GB2312"/>
          <w:color w:val="000000"/>
          <w:sz w:val="32"/>
          <w:szCs w:val="32"/>
        </w:rPr>
        <w:t>课程思政基本规范及推广机制研究；</w:t>
      </w:r>
    </w:p>
    <w:p>
      <w:pPr>
        <w:spacing w:line="560" w:lineRule="exact"/>
        <w:ind w:firstLine="645"/>
        <w:rPr>
          <w:rStyle w:val="12"/>
          <w:rFonts w:ascii="仿宋_GB2312" w:hAnsi="仿宋" w:eastAsia="仿宋_GB2312"/>
          <w:color w:val="000000"/>
          <w:sz w:val="32"/>
          <w:szCs w:val="32"/>
        </w:rPr>
      </w:pPr>
      <w:r>
        <w:rPr>
          <w:rStyle w:val="12"/>
          <w:rFonts w:hint="eastAsia" w:ascii="仿宋_GB2312" w:hAnsi="仿宋" w:eastAsia="仿宋_GB2312"/>
          <w:color w:val="000000"/>
          <w:sz w:val="32"/>
          <w:szCs w:val="32"/>
        </w:rPr>
        <w:t>4</w:t>
      </w:r>
      <w:r>
        <w:rPr>
          <w:rStyle w:val="12"/>
          <w:rFonts w:ascii="仿宋_GB2312" w:hAnsi="仿宋" w:eastAsia="仿宋_GB2312"/>
          <w:color w:val="000000"/>
          <w:sz w:val="32"/>
          <w:szCs w:val="32"/>
        </w:rPr>
        <w:t>.</w:t>
      </w:r>
      <w:r>
        <w:rPr>
          <w:rStyle w:val="12"/>
          <w:rFonts w:hint="eastAsia" w:ascii="仿宋" w:hAnsi="仿宋" w:eastAsia="仿宋"/>
          <w:color w:val="000000"/>
          <w:sz w:val="32"/>
          <w:szCs w:val="32"/>
        </w:rPr>
        <w:t>全面</w:t>
      </w:r>
      <w:r>
        <w:rPr>
          <w:rStyle w:val="12"/>
          <w:rFonts w:hint="eastAsia" w:ascii="仿宋_GB2312" w:hAnsi="仿宋" w:eastAsia="仿宋_GB2312"/>
          <w:color w:val="000000"/>
          <w:sz w:val="32"/>
          <w:szCs w:val="32"/>
        </w:rPr>
        <w:t>推动习近平新时代中国特色社会主义思想进课堂进教材进头脑的创新设计与实施路径研究；</w:t>
      </w:r>
    </w:p>
    <w:p>
      <w:pPr>
        <w:spacing w:line="560" w:lineRule="exact"/>
        <w:ind w:firstLine="645"/>
        <w:rPr>
          <w:rStyle w:val="12"/>
          <w:rFonts w:ascii="仿宋_GB2312" w:hAnsi="仿宋" w:eastAsia="仿宋_GB2312"/>
          <w:color w:val="000000"/>
          <w:sz w:val="32"/>
          <w:szCs w:val="32"/>
        </w:rPr>
      </w:pPr>
      <w:r>
        <w:rPr>
          <w:rStyle w:val="12"/>
          <w:rFonts w:hint="eastAsia" w:ascii="仿宋_GB2312" w:hAnsi="仿宋" w:eastAsia="仿宋_GB2312"/>
          <w:color w:val="000000"/>
          <w:sz w:val="32"/>
          <w:szCs w:val="32"/>
        </w:rPr>
        <w:t>5.加强思想政治理论课、中华民族共同体概论课程建设的研究与实践；</w:t>
      </w:r>
    </w:p>
    <w:p>
      <w:pPr>
        <w:spacing w:line="560" w:lineRule="exact"/>
        <w:ind w:firstLine="645"/>
        <w:rPr>
          <w:rStyle w:val="12"/>
          <w:rFonts w:ascii="仿宋_GB2312" w:hAnsi="仿宋" w:eastAsia="仿宋_GB2312"/>
          <w:color w:val="000000"/>
          <w:sz w:val="32"/>
          <w:szCs w:val="32"/>
        </w:rPr>
      </w:pPr>
      <w:r>
        <w:rPr>
          <w:rStyle w:val="12"/>
          <w:rFonts w:hint="eastAsia" w:ascii="仿宋_GB2312" w:hAnsi="仿宋" w:eastAsia="仿宋_GB2312"/>
          <w:color w:val="000000"/>
          <w:sz w:val="32"/>
          <w:szCs w:val="32"/>
        </w:rPr>
        <w:t>6.中华文化课程体系建设研究与实践；</w:t>
      </w:r>
    </w:p>
    <w:p>
      <w:pPr>
        <w:spacing w:line="560" w:lineRule="exact"/>
        <w:ind w:firstLine="645"/>
        <w:rPr>
          <w:rStyle w:val="12"/>
          <w:rFonts w:hint="eastAsia" w:ascii="仿宋_GB2312" w:hAnsi="仿宋" w:eastAsia="仿宋_GB2312"/>
          <w:color w:val="000000"/>
          <w:sz w:val="32"/>
          <w:szCs w:val="32"/>
        </w:rPr>
      </w:pPr>
      <w:r>
        <w:rPr>
          <w:rStyle w:val="12"/>
          <w:rFonts w:hint="eastAsia" w:ascii="仿宋_GB2312" w:hAnsi="仿宋" w:eastAsia="仿宋_GB2312"/>
          <w:color w:val="000000"/>
          <w:sz w:val="32"/>
          <w:szCs w:val="32"/>
        </w:rPr>
        <w:t>7.三全育人工作路径机制研究与实践。</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 xml:space="preserve"> (二)应用型人才培养模式改革与创新研究。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1.2023版本科专业人才培养方案的优化策略与路径研究（含课程学分膨胀治理、学生课后有效学习）；</w:t>
      </w:r>
    </w:p>
    <w:p>
      <w:pPr>
        <w:spacing w:line="560" w:lineRule="exact"/>
        <w:ind w:firstLine="630"/>
        <w:rPr>
          <w:rFonts w:ascii="仿宋_GB2312" w:eastAsia="仿宋_GB2312" w:hAnsiTheme="minorEastAsia"/>
          <w:sz w:val="32"/>
          <w:szCs w:val="32"/>
        </w:rPr>
      </w:pPr>
      <w:r>
        <w:rPr>
          <w:rFonts w:hint="eastAsia" w:ascii="仿宋_GB2312" w:eastAsia="仿宋_GB2312" w:hAnsiTheme="minorEastAsia"/>
          <w:sz w:val="32"/>
          <w:szCs w:val="32"/>
        </w:rPr>
        <w:t>2.基于完全学分制背景下人才培养模式改革与路径研究；</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3.新工科、新文科、新农科背景下，科教融合、产教融合、政企学研等协同育人培养模式改革与实践；</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4.卓越人才（工程师、法治人才、新闻传播人才、设计人才等）培养模式改革与创新研究；</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5.深化产教融合、以技术转移为纽带推动“四链”融合。</w:t>
      </w:r>
    </w:p>
    <w:p>
      <w:pPr>
        <w:spacing w:line="560" w:lineRule="exact"/>
        <w:ind w:firstLine="640" w:firstLineChars="200"/>
        <w:rPr>
          <w:rFonts w:ascii="仿宋_GB2312" w:eastAsia="楷体" w:hAnsiTheme="minorEastAsia"/>
          <w:sz w:val="32"/>
          <w:szCs w:val="32"/>
        </w:rPr>
      </w:pPr>
      <w:r>
        <w:rPr>
          <w:rFonts w:hint="eastAsia" w:ascii="楷体" w:hAnsi="楷体" w:eastAsia="楷体"/>
          <w:bCs/>
          <w:sz w:val="32"/>
          <w:szCs w:val="32"/>
        </w:rPr>
        <w:t>（三）教学评估与专业评估。</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1.新一轮本科教育教学审核评估相关问题研究与对策；</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2.基于工程教育专业认证需求的专业建设相关问题研究；</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3.专业认证（评估）、课程质量评估体系研究。</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（四）高等教育数字化建设研究与实践。</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1.未来学习中心建设的探索与实践；</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2.基于雨课堂等智能化平台的课程全教学链条要素资源建设的研究与实践；</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3.数字化优质教学资源共建共享与协同创新研究。</w:t>
      </w:r>
    </w:p>
    <w:p>
      <w:pPr>
        <w:spacing w:line="560" w:lineRule="exact"/>
        <w:ind w:firstLine="640" w:firstLineChars="200"/>
        <w:rPr>
          <w:rFonts w:ascii="楷体" w:hAnsi="楷体" w:eastAsia="楷体"/>
          <w:sz w:val="32"/>
          <w:szCs w:val="32"/>
        </w:rPr>
      </w:pPr>
      <w:r>
        <w:rPr>
          <w:rFonts w:hint="eastAsia" w:ascii="楷体" w:hAnsi="楷体" w:eastAsia="楷体"/>
          <w:bCs/>
          <w:sz w:val="32"/>
          <w:szCs w:val="32"/>
        </w:rPr>
        <w:t>（五）双一流建设背景下专业、课程建设研究与实践。</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1.基于国家级及省级一流专业的专业集群共建机制研究；</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2.基于国家级及省级一流课程的课程群建设研究与实践；</w:t>
      </w:r>
    </w:p>
    <w:p>
      <w:pPr>
        <w:spacing w:line="560" w:lineRule="exact"/>
        <w:ind w:firstLine="640" w:firstLineChars="200"/>
        <w:rPr>
          <w:rStyle w:val="12"/>
          <w:rFonts w:ascii="仿宋_GB2312" w:hAnsi="仿宋" w:eastAsia="仿宋_GB2312"/>
          <w:color w:val="000000"/>
          <w:sz w:val="32"/>
          <w:szCs w:val="32"/>
        </w:rPr>
      </w:pPr>
      <w:r>
        <w:rPr>
          <w:rFonts w:hint="eastAsia" w:ascii="仿宋_GB2312" w:eastAsia="仿宋_GB2312" w:hAnsiTheme="minorEastAsia"/>
          <w:sz w:val="32"/>
          <w:szCs w:val="32"/>
        </w:rPr>
        <w:t>3.基</w:t>
      </w:r>
      <w:r>
        <w:rPr>
          <w:rStyle w:val="12"/>
          <w:rFonts w:hint="eastAsia" w:ascii="仿宋_GB2312" w:hAnsi="仿宋" w:eastAsia="仿宋_GB2312"/>
          <w:color w:val="000000"/>
          <w:sz w:val="32"/>
          <w:szCs w:val="32"/>
        </w:rPr>
        <w:t>于课程思政建设的专业思政探索与实践；</w:t>
      </w:r>
    </w:p>
    <w:p>
      <w:pPr>
        <w:spacing w:line="560" w:lineRule="exact"/>
        <w:ind w:firstLine="640" w:firstLineChars="200"/>
        <w:rPr>
          <w:rStyle w:val="12"/>
          <w:rFonts w:ascii="仿宋_GB2312" w:hAnsi="仿宋" w:eastAsia="仿宋_GB2312"/>
          <w:color w:val="000000"/>
          <w:sz w:val="32"/>
          <w:szCs w:val="32"/>
        </w:rPr>
      </w:pPr>
      <w:r>
        <w:rPr>
          <w:rStyle w:val="12"/>
          <w:rFonts w:hint="eastAsia" w:ascii="仿宋_GB2312" w:hAnsi="仿宋" w:eastAsia="仿宋_GB2312"/>
          <w:color w:val="000000"/>
          <w:sz w:val="32"/>
          <w:szCs w:val="32"/>
        </w:rPr>
        <w:t>4.基于一流本科教育教学的</w:t>
      </w:r>
      <w:r>
        <w:rPr>
          <w:rFonts w:hint="eastAsia" w:ascii="仿宋_GB2312" w:eastAsia="仿宋_GB2312" w:hAnsiTheme="minorEastAsia"/>
          <w:sz w:val="32"/>
          <w:szCs w:val="32"/>
        </w:rPr>
        <w:t>教材建设研究与实践</w:t>
      </w:r>
      <w:r>
        <w:rPr>
          <w:rStyle w:val="12"/>
          <w:rFonts w:hint="eastAsia" w:ascii="仿宋_GB2312" w:hAnsi="仿宋" w:eastAsia="仿宋_GB2312"/>
          <w:color w:val="000000"/>
          <w:sz w:val="32"/>
          <w:szCs w:val="32"/>
        </w:rPr>
        <w:t>。</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（六）课程教学改革研究。</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1.混合式教学中线上线下教学一体化设计（含教学评价）；</w:t>
      </w:r>
    </w:p>
    <w:p>
      <w:pPr>
        <w:widowControl/>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2.与行业标准相衔接的课程教学内容体系探索研究；</w:t>
      </w:r>
    </w:p>
    <w:p>
      <w:pPr>
        <w:widowControl/>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w:t>
      </w:r>
      <w:r>
        <w:rPr>
          <w:rFonts w:ascii="仿宋_GB2312" w:eastAsia="仿宋_GB2312" w:hAnsiTheme="minorEastAsia"/>
          <w:sz w:val="32"/>
          <w:szCs w:val="32"/>
        </w:rPr>
        <w:t>.</w:t>
      </w:r>
      <w:r>
        <w:rPr>
          <w:rFonts w:hint="eastAsia" w:ascii="仿宋_GB2312" w:eastAsia="仿宋_GB2312" w:hAnsiTheme="minorEastAsia"/>
          <w:sz w:val="32"/>
          <w:szCs w:val="32"/>
        </w:rPr>
        <w:t>XX专业类课程思政基本规范及评价标准的研究；</w:t>
      </w:r>
    </w:p>
    <w:p>
      <w:pPr>
        <w:widowControl/>
        <w:spacing w:line="56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.“课程思政”的教学设计、组织形式与评价标准研究；</w:t>
      </w:r>
    </w:p>
    <w:p>
      <w:pPr>
        <w:widowControl/>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w:t>
      </w:r>
      <w:r>
        <w:rPr>
          <w:rFonts w:ascii="仿宋_GB2312" w:eastAsia="仿宋_GB2312" w:hAnsiTheme="minorEastAsia"/>
          <w:sz w:val="32"/>
          <w:szCs w:val="32"/>
        </w:rPr>
        <w:t>.</w:t>
      </w:r>
      <w:r>
        <w:rPr>
          <w:rFonts w:hint="eastAsia" w:ascii="仿宋_GB2312" w:eastAsia="仿宋_GB2312" w:hAnsiTheme="minorEastAsia"/>
          <w:sz w:val="32"/>
          <w:szCs w:val="32"/>
        </w:rPr>
        <w:t>以学习为中心的教学范式改革研究；</w:t>
      </w:r>
    </w:p>
    <w:p>
      <w:pPr>
        <w:widowControl/>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w:t>
      </w:r>
      <w:r>
        <w:rPr>
          <w:rFonts w:ascii="仿宋_GB2312" w:eastAsia="仿宋_GB2312" w:hAnsiTheme="minorEastAsia"/>
          <w:sz w:val="32"/>
          <w:szCs w:val="32"/>
        </w:rPr>
        <w:t>.</w:t>
      </w:r>
      <w:r>
        <w:rPr>
          <w:rFonts w:hint="eastAsia" w:ascii="仿宋_GB2312" w:eastAsia="仿宋_GB2312" w:hAnsiTheme="minorEastAsia"/>
          <w:sz w:val="32"/>
          <w:szCs w:val="32"/>
        </w:rPr>
        <w:t>国家安全教育理论与实践研究；</w:t>
      </w:r>
    </w:p>
    <w:p>
      <w:pPr>
        <w:widowControl/>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7.理解当代中国教学探索与实践研究。</w:t>
      </w:r>
    </w:p>
    <w:p>
      <w:pPr>
        <w:widowControl/>
        <w:spacing w:line="560" w:lineRule="exact"/>
        <w:ind w:firstLine="640" w:firstLineChars="200"/>
        <w:rPr>
          <w:rFonts w:ascii="楷体" w:hAnsi="楷体" w:eastAsia="楷体"/>
          <w:bCs/>
          <w:sz w:val="32"/>
          <w:szCs w:val="32"/>
        </w:rPr>
      </w:pPr>
      <w:r>
        <w:rPr>
          <w:rFonts w:hint="eastAsia" w:ascii="楷体" w:hAnsi="楷体" w:eastAsia="楷体"/>
          <w:sz w:val="32"/>
          <w:szCs w:val="32"/>
        </w:rPr>
        <w:t>（七</w:t>
      </w:r>
      <w:r>
        <w:rPr>
          <w:rFonts w:hint="eastAsia" w:ascii="楷体" w:hAnsi="楷体" w:eastAsia="楷体"/>
          <w:bCs/>
          <w:sz w:val="32"/>
          <w:szCs w:val="32"/>
        </w:rPr>
        <w:t>）教师队伍职业素养与教学能力提升。</w:t>
      </w:r>
    </w:p>
    <w:p>
      <w:pPr>
        <w:spacing w:line="560" w:lineRule="exact"/>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1.以教育家精神引领高素质教师队伍建设;</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2.教师数字化素养提升机制理论与实践；</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3.双师型教师培养机制研究与实践。</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（八）实践教学改革与研究。</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1.虚拟仿真实验平台建设与实践；</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2.大学生校外实习基地建设模式和运行机制的研究与实践；</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3.通识课程与公共基础课程中虚实结合的实验教学模式研究与实践；</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4.面向新文科人才培养的专业教育与实践教育融合研究与实践；</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5.产业学院人才培养模式与就业路径研究与探索。</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（九）大学生创新创业能力培养研究。</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1.双创与专业教育融合机制体制研究；</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2.创新创业教学内容和课程体系改革；</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3.大学生创新创业教育评估指标研究。</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（十）教学质量保障体系建设。</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1.专业人才培养评价标准体系构建研究与实践；</w:t>
      </w:r>
    </w:p>
    <w:p>
      <w:pPr>
        <w:widowControl/>
        <w:spacing w:line="560" w:lineRule="exact"/>
        <w:ind w:firstLine="640" w:firstLineChars="200"/>
        <w:rPr>
          <w:rFonts w:ascii="仿宋_GB2312" w:eastAsia="仿宋_GB2312" w:hAnsiTheme="minorEastAsia"/>
          <w:sz w:val="32"/>
          <w:szCs w:val="32"/>
        </w:rPr>
      </w:pPr>
      <w:r>
        <w:rPr>
          <w:rFonts w:hint="eastAsia" w:ascii="仿宋_GB2312" w:hAnsi="楷体" w:eastAsia="仿宋_GB2312"/>
          <w:sz w:val="32"/>
          <w:szCs w:val="32"/>
        </w:rPr>
        <w:t>2.</w:t>
      </w:r>
      <w:r>
        <w:rPr>
          <w:rFonts w:hint="eastAsia" w:ascii="仿宋_GB2312" w:eastAsia="仿宋_GB2312" w:hAnsiTheme="minorEastAsia"/>
          <w:sz w:val="32"/>
          <w:szCs w:val="32"/>
        </w:rPr>
        <w:t>在线教学效果评测与质量保障研究；</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3.教学工具应用和过程性考核评价机制研究；</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4.教学状态和教学质量监测常态化、信息化研究与实践；</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5.学生成长度评价体系与方法研究；</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6.预科人才培养机制、质量评价研究与实践；</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7</w:t>
      </w:r>
      <w:r>
        <w:rPr>
          <w:rFonts w:ascii="仿宋_GB2312" w:hAnsi="楷体" w:eastAsia="仿宋_GB2312"/>
          <w:sz w:val="32"/>
          <w:szCs w:val="32"/>
        </w:rPr>
        <w:t>.</w:t>
      </w:r>
      <w:r>
        <w:rPr>
          <w:rFonts w:hint="eastAsia" w:ascii="仿宋_GB2312" w:hAnsi="楷体" w:eastAsia="仿宋_GB2312"/>
          <w:sz w:val="32"/>
          <w:szCs w:val="32"/>
        </w:rPr>
        <w:t>课程思政建设质量监督与评价研究与实践。</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（十一）国际化人才培养。</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1.国际化人才培养机制、路径、评价研究与实践。</w:t>
      </w:r>
    </w:p>
    <w:p>
      <w:pPr>
        <w:spacing w:line="560" w:lineRule="exact"/>
        <w:ind w:firstLine="640" w:firstLineChars="200"/>
        <w:rPr>
          <w:rFonts w:ascii="楷体" w:hAnsi="楷体" w:eastAsia="楷体"/>
          <w:bCs/>
          <w:sz w:val="32"/>
          <w:szCs w:val="32"/>
        </w:rPr>
      </w:pPr>
      <w:r>
        <w:rPr>
          <w:rFonts w:hint="eastAsia" w:ascii="楷体" w:hAnsi="楷体" w:eastAsia="楷体"/>
          <w:bCs/>
          <w:sz w:val="32"/>
          <w:szCs w:val="32"/>
        </w:rPr>
        <w:t>（十二）加强基层教学组织建设。</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1.虚拟教研室试点建设研究；</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2.基层教学组织设置及效能研究；</w:t>
      </w:r>
    </w:p>
    <w:p>
      <w:pPr>
        <w:widowControl/>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3.课程教学团队建设机制研究与实践。</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23631"/>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ZhZDBhOTBlNDNiZTQxMzdlOGY0NWQ1MDMzMzA2M2MifQ=="/>
  </w:docVars>
  <w:rsids>
    <w:rsidRoot w:val="4009242E"/>
    <w:rsid w:val="000448F9"/>
    <w:rsid w:val="00086E92"/>
    <w:rsid w:val="00121EEA"/>
    <w:rsid w:val="00246EA0"/>
    <w:rsid w:val="002857BA"/>
    <w:rsid w:val="002E2275"/>
    <w:rsid w:val="0035038B"/>
    <w:rsid w:val="003B50BC"/>
    <w:rsid w:val="003D4119"/>
    <w:rsid w:val="003F3307"/>
    <w:rsid w:val="0051541A"/>
    <w:rsid w:val="005F0D59"/>
    <w:rsid w:val="006118B1"/>
    <w:rsid w:val="00680C4A"/>
    <w:rsid w:val="006E63CA"/>
    <w:rsid w:val="0074572E"/>
    <w:rsid w:val="0078638C"/>
    <w:rsid w:val="007C1AA6"/>
    <w:rsid w:val="00823188"/>
    <w:rsid w:val="008444CE"/>
    <w:rsid w:val="008665B2"/>
    <w:rsid w:val="008D7145"/>
    <w:rsid w:val="00A13114"/>
    <w:rsid w:val="00A90C67"/>
    <w:rsid w:val="00AE3686"/>
    <w:rsid w:val="00AF4245"/>
    <w:rsid w:val="00B33580"/>
    <w:rsid w:val="00B713A3"/>
    <w:rsid w:val="00BC74F8"/>
    <w:rsid w:val="00BF7A76"/>
    <w:rsid w:val="00C065BE"/>
    <w:rsid w:val="00CC2584"/>
    <w:rsid w:val="00D44E6B"/>
    <w:rsid w:val="00D828E7"/>
    <w:rsid w:val="00D865C0"/>
    <w:rsid w:val="00DB7B11"/>
    <w:rsid w:val="00E32ED1"/>
    <w:rsid w:val="00E55779"/>
    <w:rsid w:val="00EA3B5A"/>
    <w:rsid w:val="00EC6D6B"/>
    <w:rsid w:val="00F60D1F"/>
    <w:rsid w:val="00F907C4"/>
    <w:rsid w:val="00FA3A44"/>
    <w:rsid w:val="012F3F24"/>
    <w:rsid w:val="02676E7D"/>
    <w:rsid w:val="02801D1B"/>
    <w:rsid w:val="02AA03F6"/>
    <w:rsid w:val="046B01E6"/>
    <w:rsid w:val="04926151"/>
    <w:rsid w:val="04BF53B6"/>
    <w:rsid w:val="04CF3DB2"/>
    <w:rsid w:val="051B1CE8"/>
    <w:rsid w:val="055945AA"/>
    <w:rsid w:val="05B36EF1"/>
    <w:rsid w:val="05C3552C"/>
    <w:rsid w:val="05DA31B4"/>
    <w:rsid w:val="06BC1412"/>
    <w:rsid w:val="07A910D1"/>
    <w:rsid w:val="0AEA1891"/>
    <w:rsid w:val="0B544DA1"/>
    <w:rsid w:val="0D8D427D"/>
    <w:rsid w:val="0E450F95"/>
    <w:rsid w:val="0F20706F"/>
    <w:rsid w:val="112925C9"/>
    <w:rsid w:val="12322E82"/>
    <w:rsid w:val="12AF5012"/>
    <w:rsid w:val="12CA5E3E"/>
    <w:rsid w:val="131E3C80"/>
    <w:rsid w:val="13E85295"/>
    <w:rsid w:val="170A313F"/>
    <w:rsid w:val="17277840"/>
    <w:rsid w:val="175C43DC"/>
    <w:rsid w:val="17963C51"/>
    <w:rsid w:val="18272DA6"/>
    <w:rsid w:val="18290500"/>
    <w:rsid w:val="18967094"/>
    <w:rsid w:val="1A334A1D"/>
    <w:rsid w:val="1AEA6184"/>
    <w:rsid w:val="1B3F6955"/>
    <w:rsid w:val="1B8F1BE0"/>
    <w:rsid w:val="1D0D44D9"/>
    <w:rsid w:val="1D695277"/>
    <w:rsid w:val="1DA22342"/>
    <w:rsid w:val="1F165925"/>
    <w:rsid w:val="1F3F4CA1"/>
    <w:rsid w:val="1F8459CF"/>
    <w:rsid w:val="1FDA76DC"/>
    <w:rsid w:val="206F2841"/>
    <w:rsid w:val="210A5DDA"/>
    <w:rsid w:val="22367C86"/>
    <w:rsid w:val="23FC0DE6"/>
    <w:rsid w:val="263C18CD"/>
    <w:rsid w:val="26976150"/>
    <w:rsid w:val="27DE0426"/>
    <w:rsid w:val="27E5277F"/>
    <w:rsid w:val="28377976"/>
    <w:rsid w:val="28B624AB"/>
    <w:rsid w:val="29CE349A"/>
    <w:rsid w:val="2A40130E"/>
    <w:rsid w:val="2AFB371B"/>
    <w:rsid w:val="2C092892"/>
    <w:rsid w:val="2EF234B8"/>
    <w:rsid w:val="2F0241FB"/>
    <w:rsid w:val="2F5D00E1"/>
    <w:rsid w:val="2FA911B2"/>
    <w:rsid w:val="30EB1786"/>
    <w:rsid w:val="31C94B7B"/>
    <w:rsid w:val="32A964DF"/>
    <w:rsid w:val="35965C64"/>
    <w:rsid w:val="369653A9"/>
    <w:rsid w:val="37AD6289"/>
    <w:rsid w:val="3A7E5E79"/>
    <w:rsid w:val="3F050666"/>
    <w:rsid w:val="3F592780"/>
    <w:rsid w:val="3F61534F"/>
    <w:rsid w:val="4009242E"/>
    <w:rsid w:val="412B440F"/>
    <w:rsid w:val="419A0CE1"/>
    <w:rsid w:val="42856E7C"/>
    <w:rsid w:val="42AF4A28"/>
    <w:rsid w:val="4315107F"/>
    <w:rsid w:val="437860F2"/>
    <w:rsid w:val="439357DC"/>
    <w:rsid w:val="43E55AC1"/>
    <w:rsid w:val="45F57321"/>
    <w:rsid w:val="4682426C"/>
    <w:rsid w:val="468654DD"/>
    <w:rsid w:val="472423C6"/>
    <w:rsid w:val="47AC7960"/>
    <w:rsid w:val="484E3313"/>
    <w:rsid w:val="4A337CD0"/>
    <w:rsid w:val="4B47183A"/>
    <w:rsid w:val="4B822A65"/>
    <w:rsid w:val="4C6970E4"/>
    <w:rsid w:val="4E974903"/>
    <w:rsid w:val="4EDE7C0E"/>
    <w:rsid w:val="4F1877C1"/>
    <w:rsid w:val="4FC34EDC"/>
    <w:rsid w:val="512C75FF"/>
    <w:rsid w:val="53515098"/>
    <w:rsid w:val="53D830B2"/>
    <w:rsid w:val="551244BA"/>
    <w:rsid w:val="55CA6F24"/>
    <w:rsid w:val="55DA3E5F"/>
    <w:rsid w:val="590C6EA8"/>
    <w:rsid w:val="594D0070"/>
    <w:rsid w:val="5AEA0357"/>
    <w:rsid w:val="5B6656F4"/>
    <w:rsid w:val="5BB61759"/>
    <w:rsid w:val="5C9610AB"/>
    <w:rsid w:val="5CF67845"/>
    <w:rsid w:val="5D877689"/>
    <w:rsid w:val="5DA14109"/>
    <w:rsid w:val="5DF1017D"/>
    <w:rsid w:val="6021438C"/>
    <w:rsid w:val="60964C42"/>
    <w:rsid w:val="60A47C83"/>
    <w:rsid w:val="61517FFF"/>
    <w:rsid w:val="622F3145"/>
    <w:rsid w:val="629C2B87"/>
    <w:rsid w:val="62FE3A5F"/>
    <w:rsid w:val="632C3AAF"/>
    <w:rsid w:val="6350584C"/>
    <w:rsid w:val="63FD4704"/>
    <w:rsid w:val="64ED046B"/>
    <w:rsid w:val="64F5066F"/>
    <w:rsid w:val="66B80BBB"/>
    <w:rsid w:val="678B0082"/>
    <w:rsid w:val="683B2DD7"/>
    <w:rsid w:val="6849587D"/>
    <w:rsid w:val="688B3F46"/>
    <w:rsid w:val="69113F48"/>
    <w:rsid w:val="6C08442F"/>
    <w:rsid w:val="6CFB676B"/>
    <w:rsid w:val="6E32581B"/>
    <w:rsid w:val="6FEA30C7"/>
    <w:rsid w:val="701D6491"/>
    <w:rsid w:val="711C2820"/>
    <w:rsid w:val="717A04A0"/>
    <w:rsid w:val="72B5510D"/>
    <w:rsid w:val="74C334B8"/>
    <w:rsid w:val="75414128"/>
    <w:rsid w:val="76576731"/>
    <w:rsid w:val="77AB55F4"/>
    <w:rsid w:val="79075BDD"/>
    <w:rsid w:val="79120FE4"/>
    <w:rsid w:val="79484C90"/>
    <w:rsid w:val="796E12D1"/>
    <w:rsid w:val="7CC04992"/>
    <w:rsid w:val="7D95508F"/>
    <w:rsid w:val="7E9C3D06"/>
    <w:rsid w:val="7EA37D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autoRedefine/>
    <w:qFormat/>
    <w:uiPriority w:val="0"/>
    <w:rPr>
      <w:b/>
    </w:rPr>
  </w:style>
  <w:style w:type="paragraph" w:styleId="9">
    <w:name w:val="List Paragraph"/>
    <w:basedOn w:val="1"/>
    <w:autoRedefine/>
    <w:qFormat/>
    <w:uiPriority w:val="34"/>
    <w:pPr>
      <w:ind w:firstLine="420" w:firstLineChars="200"/>
    </w:pPr>
  </w:style>
  <w:style w:type="character" w:customStyle="1" w:styleId="10">
    <w:name w:val="页眉 Char"/>
    <w:basedOn w:val="7"/>
    <w:link w:val="4"/>
    <w:autoRedefine/>
    <w:qFormat/>
    <w:uiPriority w:val="0"/>
    <w:rPr>
      <w:kern w:val="2"/>
      <w:sz w:val="18"/>
      <w:szCs w:val="18"/>
    </w:rPr>
  </w:style>
  <w:style w:type="character" w:customStyle="1" w:styleId="11">
    <w:name w:val="页脚 Char"/>
    <w:basedOn w:val="7"/>
    <w:link w:val="3"/>
    <w:autoRedefine/>
    <w:qFormat/>
    <w:uiPriority w:val="99"/>
    <w:rPr>
      <w:kern w:val="2"/>
      <w:sz w:val="18"/>
      <w:szCs w:val="18"/>
    </w:rPr>
  </w:style>
  <w:style w:type="character" w:customStyle="1" w:styleId="12">
    <w:name w:val="NormalCharacter"/>
    <w:autoRedefine/>
    <w:qFormat/>
    <w:uiPriority w:val="0"/>
  </w:style>
  <w:style w:type="character" w:customStyle="1" w:styleId="13">
    <w:name w:val="批注框文本 Char"/>
    <w:basedOn w:val="7"/>
    <w:link w:val="2"/>
    <w:autoRedefine/>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9644-4015-4CC0-AE94-224C593536E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236</Words>
  <Characters>1346</Characters>
  <Lines>11</Lines>
  <Paragraphs>3</Paragraphs>
  <TotalTime>10</TotalTime>
  <ScaleCrop>false</ScaleCrop>
  <LinksUpToDate>false</LinksUpToDate>
  <CharactersWithSpaces>1579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2022-12-16T03:22:00Z</dcterms:created>
  <dc:creator>王茹</dc:creator>
  <cp:lastModifiedBy>大脸猫</cp:lastModifiedBy>
  <cp:lastPrinted>2023-01-08T06:49:00Z</cp:lastPrinted>
  <dcterms:modified xsi:type="dcterms:W3CDTF">2024-04-16T02:51:56Z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14333425D5244D118D8F0C6DFFFBDA4F</vt:lpwstr>
  </property>
</Properties>
</file>